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Sectiune 2 </w:t>
      </w:r>
    </w:p>
    <w:p w:rsidR="00BF1579" w:rsidRPr="00687518" w:rsidRDefault="00BF1579" w:rsidP="00BF1579">
      <w:pPr>
        <w:autoSpaceDE w:val="0"/>
        <w:autoSpaceDN w:val="0"/>
        <w:adjustRightInd w:val="0"/>
        <w:spacing w:after="0" w:line="240" w:lineRule="auto"/>
        <w:rPr>
          <w:rFonts w:cs="Calibri"/>
          <w:lang w:val="ro-RO" w:eastAsia="ro-RO"/>
        </w:rPr>
      </w:pPr>
      <w:bookmarkStart w:id="0" w:name="_GoBack"/>
      <w:r w:rsidRPr="00687518">
        <w:rPr>
          <w:rFonts w:cs="Calibri"/>
          <w:b/>
          <w:bCs/>
          <w:lang w:val="ro-RO" w:eastAsia="ro-RO"/>
        </w:rPr>
        <w:t xml:space="preserve">Pedepsele complementare </w:t>
      </w:r>
    </w:p>
    <w:bookmarkEnd w:id="0"/>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Art. 66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Pedeapsa complementară a interzicerii exercitării unor drepturi constă în interzicerea exercitării, pe o perioadă de la unu la 5 ani, a unuia sau mai multora dintre următoarele drepturi: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dreptul de a fi ales în autoritățile publice sau în orice alte funcții publice;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dreptul de a ocupa o funcție care implică exercițiul autorității de stat;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dreptul străinului de a se afla pe teritoriul României;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d. </w:t>
      </w:r>
      <w:r w:rsidRPr="00687518">
        <w:rPr>
          <w:rFonts w:cs="Calibri"/>
          <w:lang w:val="ro-RO" w:eastAsia="ro-RO"/>
        </w:rPr>
        <w:t xml:space="preserve">dreptul de a alege;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e. </w:t>
      </w:r>
      <w:r w:rsidRPr="00687518">
        <w:rPr>
          <w:rFonts w:cs="Calibri"/>
          <w:lang w:val="ro-RO" w:eastAsia="ro-RO"/>
        </w:rPr>
        <w:t xml:space="preserve">drepturile părintești;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f. </w:t>
      </w:r>
      <w:r w:rsidRPr="00687518">
        <w:rPr>
          <w:rFonts w:cs="Calibri"/>
          <w:lang w:val="ro-RO" w:eastAsia="ro-RO"/>
        </w:rPr>
        <w:t xml:space="preserve">dreptul de a fi tutore sau curator;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g. </w:t>
      </w:r>
      <w:r w:rsidRPr="00687518">
        <w:rPr>
          <w:rFonts w:cs="Calibri"/>
          <w:lang w:val="ro-RO" w:eastAsia="ro-RO"/>
        </w:rPr>
        <w:t xml:space="preserve">dreptul de a ocupa funcția, de a exercita profesia sau meseria ori de a desfășura activitatea de care s-a folosit pentru săvârșirea infracțiunii;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h. </w:t>
      </w:r>
      <w:r w:rsidRPr="00687518">
        <w:rPr>
          <w:rFonts w:cs="Calibri"/>
          <w:lang w:val="ro-RO" w:eastAsia="ro-RO"/>
        </w:rPr>
        <w:t xml:space="preserve">dreptul de a deține, purta și folosi orice categorie de arme;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i. </w:t>
      </w:r>
      <w:r w:rsidRPr="00687518">
        <w:rPr>
          <w:rFonts w:cs="Calibri"/>
          <w:lang w:val="ro-RO" w:eastAsia="ro-RO"/>
        </w:rPr>
        <w:t xml:space="preserve">dreptul de a conduce anumite categorii de vehicule stabilite de instanță;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j. </w:t>
      </w:r>
      <w:r w:rsidRPr="00687518">
        <w:rPr>
          <w:rFonts w:cs="Calibri"/>
          <w:lang w:val="ro-RO" w:eastAsia="ro-RO"/>
        </w:rPr>
        <w:t xml:space="preserve">dreptul de a părăsi teritoriul României;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k. </w:t>
      </w:r>
      <w:r w:rsidRPr="00687518">
        <w:rPr>
          <w:rFonts w:cs="Calibri"/>
          <w:lang w:val="ro-RO" w:eastAsia="ro-RO"/>
        </w:rPr>
        <w:t xml:space="preserve">dreptul de a ocupa o funcție de conducere în cadrul unei persoane juridice de drept public;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l. </w:t>
      </w:r>
      <w:r w:rsidRPr="00687518">
        <w:rPr>
          <w:rFonts w:cs="Calibri"/>
          <w:lang w:val="ro-RO" w:eastAsia="ro-RO"/>
        </w:rPr>
        <w:t xml:space="preserve">dreptul de a se afla în anumite localități stabilite de instanță;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m. </w:t>
      </w:r>
      <w:r w:rsidRPr="00687518">
        <w:rPr>
          <w:rFonts w:cs="Calibri"/>
          <w:lang w:val="ro-RO" w:eastAsia="ro-RO"/>
        </w:rPr>
        <w:t xml:space="preserve">dreptul de a se afla în anumite locuri sau la anumite manifestări sportive, culturale ori la alte adunări publice, stabilite de instanță;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n. </w:t>
      </w:r>
      <w:r w:rsidRPr="00687518">
        <w:rPr>
          <w:rFonts w:cs="Calibri"/>
          <w:lang w:val="ro-RO" w:eastAsia="ro-RO"/>
        </w:rPr>
        <w:t xml:space="preserve">dreptul de a comunica cu victima sau cu membri de familie ai acesteia, cu persoanele cu care a comis infracțiunea sau cu alte persoane, stabilite de instanță, ori de a se apropia de acestea;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o. </w:t>
      </w:r>
      <w:r w:rsidRPr="00687518">
        <w:rPr>
          <w:rFonts w:cs="Calibri"/>
          <w:lang w:val="ro-RO" w:eastAsia="ro-RO"/>
        </w:rPr>
        <w:t xml:space="preserve">dreptul de a se apropia de locuința, locul de muncă, școala sau alte locuri unde victima desfășoară activități sociale, în condițiile stabilite de instanța de judecată.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Când legea prevede interzicerea exercitării dreptului de a ocupa o funcție publică, instanța dispune interzicerea exercitării drepturilor prevăzute în alin. (1) lit. a) și lit. b).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Interzicerea exercitării drepturilor prevăzute în alin. (1) lit. a) și lit. b) se dispune cumulativ.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Pedeapsa prevăzută în alin. (1) lit. c) nu se va dispune atunci când există motive întemeiate de a crede că viața persoanei expulzate este pusă în pericol ori că persoana va fi supusă la tortură sau alte tratamente inumane ori degradante în statul în care urmează a fi expulzată.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(5) - </w:t>
      </w:r>
      <w:r w:rsidRPr="00687518">
        <w:rPr>
          <w:rFonts w:cs="Calibri"/>
          <w:lang w:val="ro-RO" w:eastAsia="ro-RO"/>
        </w:rPr>
        <w:t xml:space="preserve">Când dispune interzicerea unuia dintre drepturile prevăzute în alin. (1) lit. n) și lit. o), instanța individualizează în concret conținutul acestei pedepse, ținând seama de împrejurările cauzei.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Art. 67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Pedeapsa complementară a interzicerii exercitării unor drepturi poate fi aplicată dacă pedeapsa principală stabilită este închisoarea sau amenda și instanța constată că, față de natura și gravitatea infracțiunii, împrejurările cauzei și persoana infractorului, această pedeapsă este necesară.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Aplicarea pedepsei interzicerii exercitării unor drepturi este obligatorie când legea prevede această pedeapsă pentru infracțiunea săvârșită.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Interzicerea dreptului străinului de a se afla pe teritoriul României nu se aplică în cazul în care s-a dispus suspendarea executării pedepsei sub supraveghere.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Art. 68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Executarea pedepsei interzicerii exercitării unor drepturi începe: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de la rămânerea definitivă a hotărârii de condamnare la pedeapsa amenzii;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de la rămânerea definitivă a hotărârii de condamnare prin care s-a dispus suspendarea executării pedepsei sub supraveghere;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după executarea pedepsei închisorii, după grațierea totală ori a restului de pedeapsă, după împlinirea termenului de prescripție a executării pedepsei sau după expirarea termenului de supraveghere a liberării condiționate.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În cazul în care s-a dispus liberarea condiționată, interzicerea dreptului străinului de a se afla pe teritoriul României se execută la data liberării.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Dacă se dispune revocarea suspendării executării pedepsei sub supraveghere sau înlocuirea pedepsei amenzii cu închisoarea, pentru alte motive decât săvârșirea unei noi infracțiuni, partea din </w:t>
      </w:r>
      <w:r w:rsidRPr="00687518">
        <w:rPr>
          <w:rFonts w:cs="Calibri"/>
          <w:lang w:val="ro-RO" w:eastAsia="ro-RO"/>
        </w:rPr>
        <w:lastRenderedPageBreak/>
        <w:t xml:space="preserve">durata pedepsei complementare a interzicerii exercitării unor drepturi neexecutată la data revocării sau înlocuirii se va executa după executarea pedepsei închisorii.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Art. 69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Pedeapsa complementară a degradării militare constă în pierderea gradului și a dreptului de a purta uniformă de la data rămânerii definitive a hotărârii de condamnare.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Degradarea militară se aplică în mod obligatoriu condamnaților militari în activitate, în rezervă sau în retragere, dacă pedeapsa principală aplicată este închisoarea mai mare de 10 ani sau detențiunea pe viață.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Degradarea militară poate fi aplicată condamnaților militari în activitate, în rezervă sau în retragere pentru infracțiuni săvârșite cu intenție, dacă pedeapsa principală aplicată este închisoarea de cel puțin 5 ani și de cel mult 10 ani.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Art. 70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Publicarea hotărârii definitive de condamnare se poate dispune când, ținând seama de natura și gravitatea infracțiunii, împrejurările cauzei și persoana condamnatului, instanța apreciază că publicarea va contribui la prevenirea săvârșirii altor asemenea infracțiuni.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Hotărârea de condamnare se publică în extras, în forma stabilită de instanță, într-un cotidian local sau național, o singură dată.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Publicarea hotărârii definitive de condamnare se face pe cheltuiala persoanei condamnate, fără a se dezvălui identitatea altor persoane. </w:t>
      </w:r>
    </w:p>
    <w:p w:rsidR="00BF1579" w:rsidRPr="00687518" w:rsidRDefault="00BF1579" w:rsidP="00BF1579">
      <w:pPr>
        <w:autoSpaceDE w:val="0"/>
        <w:autoSpaceDN w:val="0"/>
        <w:adjustRightInd w:val="0"/>
        <w:spacing w:after="0" w:line="240" w:lineRule="auto"/>
        <w:rPr>
          <w:rFonts w:cs="Calibri"/>
          <w:b/>
          <w:bCs/>
          <w:lang w:val="ro-RO" w:eastAsia="ro-RO"/>
        </w:rPr>
      </w:pP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Capitol 4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Calculul duratei pedepselor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Art. 71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Durata executării pedepsei privative de libertate se socotește din ziua în care condamnatul a început executarea hotărârii definitive de condamnare.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Ziua în care începe executarea pedepsei și ziua în care încetează se socotesc în durata executării.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Perioada în care condamnatul, în cursul executării pedepsei, se află bolnav în spital intră în durata executării, în afară de cazul în care și-a provocat în mod voit boala, iar această împrejurare se constată în cursul executării pedepsei.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Permisiunile de ieșire din penitenciar, acordate condamnatului conform legii de executare a pedepselor, intră în durata executării pedepsei.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Art. 72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Perioada în care o persoană a fost supusă unei măsuri preventive privative de libertate se scade din durata pedepsei închisorii pronunțate. Scăderea se face și atunci când condamnatul a fost urmărit sau judecat, în același timp ori în mod separat, pentru mai multe infracțiuni concurente, chiar dacă a fost condamnat pentru o altă faptă decât cea care a determinat dispunerea măsurii preventive.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Perioada în care o persoană a fost supusă unei măsuri preventive privative de libertate se scade și în caz de condamnare la pedeapsa amenzii, prin înlăturarea în tot sau în parte a zilelor-amendă.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În cazul amenzii care însoțește pedeapsa închisorii, perioada în care o persoană a fost supusă unei măsuri preventive privative de libertate se scade din durata pedepsei închisorii.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Art. 73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În cazul infracțiunilor săvârșite în condițiile art. 8, art. 9, art. 10 sau art. 11, partea din pedeapsă, precum și durata măsurilor preventive privative de libertate executate în afara teritoriului țării se scad din durata pedepsei aplicate pentru aceeași infracțiune în România.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Dispozițiile alin. (1) se aplică în mod corespunzător și în cazul în care pedeapsa executată în afara țării este amenda. </w:t>
      </w:r>
    </w:p>
    <w:p w:rsidR="00BF1579" w:rsidRPr="00687518" w:rsidRDefault="00BF1579" w:rsidP="00BF1579">
      <w:pPr>
        <w:autoSpaceDE w:val="0"/>
        <w:autoSpaceDN w:val="0"/>
        <w:adjustRightInd w:val="0"/>
        <w:spacing w:after="0" w:line="240" w:lineRule="auto"/>
        <w:rPr>
          <w:rFonts w:cs="Calibri"/>
          <w:b/>
          <w:bCs/>
          <w:lang w:val="ro-RO" w:eastAsia="ro-RO"/>
        </w:rPr>
      </w:pP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Capitol 5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Individualizarea pedepselor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Sectiune 1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Dispoziții generale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Art. 74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lastRenderedPageBreak/>
        <w:t xml:space="preserve">(1) - </w:t>
      </w:r>
      <w:r w:rsidRPr="00687518">
        <w:rPr>
          <w:rFonts w:cs="Calibri"/>
          <w:lang w:val="ro-RO" w:eastAsia="ro-RO"/>
        </w:rPr>
        <w:t xml:space="preserve">Stabilirea duratei ori a cuantumului pedepsei se face în raport cu gravitatea infracțiunii săvârșite și cu periculozitatea infractorului, care se evaluează după următoarele criterii: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împrejurările și modul de comitere a infracțiunii, precum și mijloacele folosite;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starea de pericol creată pentru valoarea ocrotită;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natura și gravitatea rezultatului produs ori a altor consecințe ale infracțiunii;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d. </w:t>
      </w:r>
      <w:r w:rsidRPr="00687518">
        <w:rPr>
          <w:rFonts w:cs="Calibri"/>
          <w:lang w:val="ro-RO" w:eastAsia="ro-RO"/>
        </w:rPr>
        <w:t xml:space="preserve">motivul săvârșirii infracțiunii și scopul urmărit;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e. </w:t>
      </w:r>
      <w:r w:rsidRPr="00687518">
        <w:rPr>
          <w:rFonts w:cs="Calibri"/>
          <w:lang w:val="ro-RO" w:eastAsia="ro-RO"/>
        </w:rPr>
        <w:t xml:space="preserve">natura și frecvența infracțiunilor care constituie antecedente penale ale infractorului;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f. </w:t>
      </w:r>
      <w:r w:rsidRPr="00687518">
        <w:rPr>
          <w:rFonts w:cs="Calibri"/>
          <w:lang w:val="ro-RO" w:eastAsia="ro-RO"/>
        </w:rPr>
        <w:t xml:space="preserve">conduita după săvârșirea infracțiunii și în cursul procesului penal;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g. </w:t>
      </w:r>
      <w:r w:rsidRPr="00687518">
        <w:rPr>
          <w:rFonts w:cs="Calibri"/>
          <w:lang w:val="ro-RO" w:eastAsia="ro-RO"/>
        </w:rPr>
        <w:t xml:space="preserve">nivelul de educație, vârsta, starea de sănătate, situația familială și socială.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Când pentru infracțiunea săvârșită legea prevede pedepse alternative, se ține seama de criteriile prevăzute în alin. (1) și pentru alegerea uneia dintre acestea. </w:t>
      </w:r>
    </w:p>
    <w:p w:rsidR="00BF1579" w:rsidRPr="00687518" w:rsidRDefault="00BF1579" w:rsidP="00BF1579">
      <w:pPr>
        <w:autoSpaceDE w:val="0"/>
        <w:autoSpaceDN w:val="0"/>
        <w:adjustRightInd w:val="0"/>
        <w:spacing w:after="0" w:line="240" w:lineRule="auto"/>
        <w:rPr>
          <w:rFonts w:cs="Calibri"/>
          <w:b/>
          <w:bCs/>
          <w:lang w:val="ro-RO" w:eastAsia="ro-RO"/>
        </w:rPr>
      </w:pP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Sectiune 2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Circumstanțele atenuante și circumstanțele agravante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Art. 75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Următoarele împrejurări constituie circumstanțe atenuante legale: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săvârșirea infracțiunii sub stăpânirea unei puternice tulburări sau emoții, determinată de o provocare din partea persoanei vătămate, produsă prin violență, printr-o atingere gravă a demnității persoanei sau printr-o altă acțiune ilicită gravă;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depășirea limitelor legitimei apărări;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depășirea limitelor stării de necesitate.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d. </w:t>
      </w:r>
      <w:r w:rsidRPr="00687518">
        <w:rPr>
          <w:rFonts w:cs="Calibri"/>
          <w:lang w:val="ro-RO" w:eastAsia="ro-RO"/>
        </w:rPr>
        <w:t xml:space="preserve">acoperirea integrală a prejudiciului material cauzat prin infracțiune, în cursul urmăririi penale sau al judecății, până la primul termen de judecată, dacă făptuitorul nu a mai beneficiat de această circumstanță într-un interval de 5 ani anterior comiterii faptei. Circumstanța atenuantă nu se aplică în cazul săvârșirii următoarelor infracțiuni: contra persoanei, de furt calificat, tâlhărie, piraterie, fraude comise prin sisteme informatice și mijloace de plată electronice, ultraj, ultraj judiciar, purtare abuzivă, infracțiuni contra siguranței publice, infracțiuni contra sănătății publice, infracțiuni contra libertății religioase și respectului datorat persoanelor decedate, contra securității naționale, contra capacității de luptă a forțelor armate, infracțiunilor de genocid, contra umanității și de război, a infracțiunilor privind frontiera de stat a României, a infracțiunilor la legislația privind prevenirea și combaterea terorismului, a infracțiunilor de corupție, infracțiunilor asimilate infracțiunilor de corupție, a celor împotriva intereselor financiare ale Uniunii Europene, a infracțiunilor privitoare la nerespectarea regimului materiilor explozive, materialelor nucleare sau al altor materii radioactive, privind regimul juridic al drogurilor, privind regimul juridic al precursorilor de droguri, a celor privind spălarea banilor, privind activitățile aeronautice civile și cele care pot pune în pericol siguranța zborurilor și securitatea aeronautică, privind protecția martorilor, privind interzicerea organizațiilor și simbolurilor cu caracter fascist, rasist sau xenofob și a promovării cultului persoanelor vinovate de săvârșirea unor infracțiuni contra păcii și omenirii, a celor privind traficul de organe, țesuturi sau celule de origine umană, privind prevenirea și combaterea pornografiei și a celor la regimul adopțiilor.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Pot constitui circumstanțe atenuante judiciare: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eforturile depuse de infractor pentru înlăturarea sau diminuarea consecințelor infracțiunii;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împrejurările legate de fapta comisă, care diminuează gravitatea infracțiunii sau periculozitatea infractorului.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Art. 76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În cazul în care există circumstanțe atenuante, limitele speciale ale pedepsei prevăzute de lege pentru infracțiunea săvârșită se reduc cu o treime.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Dacă pedeapsa prevăzută de lege este detențiunea pe viață, în cazul reținerii circumstanțelor atenuante se aplică pedeapsa închisorii de la 10 la 20 de ani.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Reducerea limitelor speciale ale pedepsei se face o singură dată, indiferent de numărul circumstanțelor atenuante reținute.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Art. 77 - </w:t>
      </w:r>
      <w:r w:rsidRPr="00687518">
        <w:rPr>
          <w:rFonts w:cs="Calibri"/>
          <w:lang w:val="ro-RO" w:eastAsia="ro-RO"/>
        </w:rPr>
        <w:t xml:space="preserve">Următoarele împrejurări constituie circumstanțe agravante: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lastRenderedPageBreak/>
        <w:t xml:space="preserve">a. </w:t>
      </w:r>
      <w:r w:rsidRPr="00687518">
        <w:rPr>
          <w:rFonts w:cs="Calibri"/>
          <w:lang w:val="ro-RO" w:eastAsia="ro-RO"/>
        </w:rPr>
        <w:t xml:space="preserve">săvârșirea faptei de trei sau mai multe persoane împreună;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săvârșirea infracțiunii prin cruzimi sau supunerea victimei la tratamente degradante;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săvârșirea infracțiunii prin metode sau mijloace de natură să pună în pericol alte persoane ori bunuri;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d. </w:t>
      </w:r>
      <w:r w:rsidRPr="00687518">
        <w:rPr>
          <w:rFonts w:cs="Calibri"/>
          <w:lang w:val="ro-RO" w:eastAsia="ro-RO"/>
        </w:rPr>
        <w:t xml:space="preserve">săvârșirea infracțiunii de către un infractor major, dacă aceasta a fost comisă împreună cu un minor;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e. </w:t>
      </w:r>
      <w:r w:rsidRPr="00687518">
        <w:rPr>
          <w:rFonts w:cs="Calibri"/>
          <w:lang w:val="ro-RO" w:eastAsia="ro-RO"/>
        </w:rPr>
        <w:t xml:space="preserve">săvârșirea infracțiunii profitând de starea de vădită vulnerabilitate a persoanei vătămate, datorată vârstei, stării de sănătate, infirmității sau altor cauze;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f. </w:t>
      </w:r>
      <w:r w:rsidRPr="00687518">
        <w:rPr>
          <w:rFonts w:cs="Calibri"/>
          <w:lang w:val="ro-RO" w:eastAsia="ro-RO"/>
        </w:rPr>
        <w:t xml:space="preserve">săvârșirea infracțiunii în stare de intoxicație voluntară cu alcool sau cu alte substanțe psihoactive, când a fost provocată în vederea comiterii infracțiunii;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g. </w:t>
      </w:r>
      <w:r w:rsidRPr="00687518">
        <w:rPr>
          <w:rFonts w:cs="Calibri"/>
          <w:lang w:val="ro-RO" w:eastAsia="ro-RO"/>
        </w:rPr>
        <w:t xml:space="preserve">săvârșirea infracțiunii de către o persoană care a profitat de situația prilejuită de o calamitate, de starea de asediu sau de starea de urgență; </w:t>
      </w:r>
    </w:p>
    <w:p w:rsidR="00BF1579" w:rsidRPr="00687518" w:rsidRDefault="00BF1579" w:rsidP="00BF1579">
      <w:pPr>
        <w:autoSpaceDE w:val="0"/>
        <w:autoSpaceDN w:val="0"/>
        <w:adjustRightInd w:val="0"/>
        <w:spacing w:after="0" w:line="240" w:lineRule="auto"/>
        <w:rPr>
          <w:lang w:val="ro-RO" w:eastAsia="ro-RO"/>
        </w:rPr>
      </w:pPr>
      <w:r w:rsidRPr="00687518">
        <w:rPr>
          <w:rFonts w:cs="Calibri"/>
          <w:b/>
          <w:bCs/>
          <w:lang w:val="ro-RO" w:eastAsia="ro-RO"/>
        </w:rPr>
        <w:t xml:space="preserve">h. </w:t>
      </w:r>
      <w:r w:rsidRPr="00687518">
        <w:rPr>
          <w:rFonts w:cs="Calibri"/>
          <w:lang w:val="ro-RO" w:eastAsia="ro-RO"/>
        </w:rPr>
        <w:t xml:space="preserve">săvârșirea infracțiunii pentru motive legate de rasă, naționalitate, etnie, limbă, religie, gen, orientare sexuală, opinie ori apartenență politică, avere, origine socială, vârstă, dizabilitate, boală cronică </w:t>
      </w:r>
      <w:r w:rsidRPr="00687518">
        <w:rPr>
          <w:lang w:val="ro-RO" w:eastAsia="ro-RO"/>
        </w:rPr>
        <w:t xml:space="preserve">necontagioasă sau infecție HIV/SIDA ori pentru alte împrejurări de același fel, considerate de făptuitor drept cauze ale inferiorității unei persoane în raport cu celelalte.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Art. 78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În cazul în care există circumstanțe agravante, se poate aplica o pedeapsă până la maximul special. Dacă maximul special este neîndestulător, în cazul închisorii se poate adăuga un spor până la 2 ani, care nu poate depăși o treime din acest maxim, iar în cazul amenzii se poate aplica un spor de cel mult o treime din maximul special.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Majorarea limitelor speciale ale pedepsei se face o singură dată, indiferent de numărul circumstanțelor agravante reținute.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Art. 79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Când în cazul aceleiași infracțiuni sunt incidente două sau mai multe dispoziții care au ca efect reducerea pedepsei, limitele speciale ale pedepsei prevăzute de lege pentru infracțiunea săvârșită se reduc prin aplicarea succesivă a dispozițiilor privitoare la tentativă, circumstanțe atenuante și cazuri speciale de reducere a pedepsei, în această ordine.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Dacă sunt incidente două sau mai multe dispoziții care au ca efect agravarea răspunderii penale, pedeapsa se stabilește prin aplicarea succesivă a dispozițiilor privitoare la circumstanțe agravante, infracțiune continuată, concurs sau recidivă.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Când în cazul aceleiași infracțiuni sunt incidente una sau mai multe cauze de reducere a pedepsei și una sau mai multe cauze de majorare a pedepsei, limitele speciale ale pedepsei prevăzute de lege pentru infracțiunea săvârșită se reduc conform alin. (1), după care limitele de pedeapsă rezultate se majorează conform alin. (2). </w:t>
      </w:r>
    </w:p>
    <w:p w:rsidR="00BF1579" w:rsidRPr="00687518" w:rsidRDefault="00BF1579" w:rsidP="00BF1579">
      <w:pPr>
        <w:autoSpaceDE w:val="0"/>
        <w:autoSpaceDN w:val="0"/>
        <w:adjustRightInd w:val="0"/>
        <w:spacing w:after="0" w:line="240" w:lineRule="auto"/>
        <w:rPr>
          <w:rFonts w:cs="Calibri"/>
          <w:b/>
          <w:bCs/>
          <w:lang w:val="ro-RO" w:eastAsia="ro-RO"/>
        </w:rPr>
      </w:pP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Sectiune 3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Renunțarea la aplicarea pedepsei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Art. 80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Instanța poate dispune renunțarea la aplicarea pedepsei dacă sunt întrunite următoarele condiții: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infracțiunea săvârșită prezintă o gravitate redusă, având în vedere natura și întinderea urmărilor produse, mijloacele folosite, modul și împrejurările în care a fost comisă, motivul și scopul urmărit;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în raport de persoana infractorului, de conduita avută anterior săvârșirii infracțiunii, de eforturile depuse de acesta pentru înlăturarea sau diminuarea consecințelor infracțiunii, precum și de posibilitățile sale de îndreptare, instanța apreciază că aplicarea unei pedepse ar fi inoportună din cauza consecințelor pe care le-ar avea asupra persoanei acestuia.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Nu se poate dispune renunțarea la aplicarea pedepsei dacă: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infractorul a mai suferit anterior o condamnare, cu excepția cazurilor prevăzute în art. 42 lit. a) și lit. b) sau pentru care a intervenit reabilitarea ori s-a împlinit termenul de reabilitare;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față de același infractor s-a mai dispus renunțarea la aplicarea pedepsei în ultimii 2 ani anteriori datei comiterii infracțiunii pentru care este judecat;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lastRenderedPageBreak/>
        <w:t xml:space="preserve">c. </w:t>
      </w:r>
      <w:r w:rsidRPr="00687518">
        <w:rPr>
          <w:rFonts w:cs="Calibri"/>
          <w:lang w:val="ro-RO" w:eastAsia="ro-RO"/>
        </w:rPr>
        <w:t xml:space="preserve">infractorul s-a sustras de la urmărire penală ori judecată sau a încercat zădărnicirea aflării adevărului ori a identificării și tragerii la răspundere penală a autorului sau a participanților;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d. </w:t>
      </w:r>
      <w:r w:rsidRPr="00687518">
        <w:rPr>
          <w:rFonts w:cs="Calibri"/>
          <w:lang w:val="ro-RO" w:eastAsia="ro-RO"/>
        </w:rPr>
        <w:t xml:space="preserve">pedeapsa prevăzută de lege pentru infracțiunea săvârșită este închisoarea mai mare de 5 ani.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În caz de concurs de infracțiuni, renunțarea la aplicarea pedepsei se poate dispune dacă pentru fiecare infracțiune concurentă sunt îndeplinite condițiile prevăzute în alin. (1) și alin. (2).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Art. 81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Când dispune renunțarea la aplicarea pedepsei, instanța aplică infractorului un avertisment.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Avertismentul constă în prezentarea motivelor de fapt care au determinat renunțarea la aplicarea pedepsei și atenționarea infractorului asupra conduitei sale viitoare și a consecințelor la care se expune dacă va mai comite infracțiuni.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În caz de concurs de infracțiuni se aplică un singur avertisment.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Art. 82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Persoana față de care s-a dispus renunțarea la aplicarea pedepsei nu este supusă niciunei decăderi, interdicții sau incapacități ce ar putea decurge din infracțiunea săvârșită. </w:t>
      </w:r>
    </w:p>
    <w:p w:rsidR="00BF1579" w:rsidRPr="00687518"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Renunțarea la aplicarea pedepsei nu produce efecte asupra executării măsurilor de siguranță și a obligațiilor civile prevăzute în hotărâre. </w:t>
      </w:r>
    </w:p>
    <w:p w:rsidR="007F6422" w:rsidRPr="00BF1579" w:rsidRDefault="00BF1579" w:rsidP="00BF1579">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Dacă în termen de 2 ani de la rămânerea definitivă a hotărârii prin care s-a dispus renunțarea la aplicarea pedepsei se descoperă că persoana față de care s-a luat această măsură săvârșise anterior rămânerii definitive a hotărârii o altă infracțiune, pentru care i s-a stabilit o pedeapsă chiar după expirarea acestui termen, renunțarea la aplicarea pedepsei se anulează și se stabilește pedeapsa pentru infracțiunea care a atras inițial renunțarea la aplicarea pedepsei, aplicându-se apoi, după caz, dispozițiile privitoare la concursul de infracțiuni, recidivă</w:t>
      </w:r>
      <w:r>
        <w:rPr>
          <w:rFonts w:cs="Calibri"/>
          <w:lang w:val="ro-RO" w:eastAsia="ro-RO"/>
        </w:rPr>
        <w:t xml:space="preserve"> sau pluralitate intermediară. </w:t>
      </w:r>
      <w:r w:rsidR="00FA2B68" w:rsidRPr="00BF1579">
        <w:t xml:space="preserve"> </w:t>
      </w:r>
    </w:p>
    <w:sectPr w:rsidR="007F6422" w:rsidRPr="00BF157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BBD" w:rsidRDefault="00286BBD" w:rsidP="00FA2B68">
      <w:pPr>
        <w:spacing w:after="0" w:line="240" w:lineRule="auto"/>
      </w:pPr>
      <w:r>
        <w:separator/>
      </w:r>
    </w:p>
  </w:endnote>
  <w:endnote w:type="continuationSeparator" w:id="0">
    <w:p w:rsidR="00286BBD" w:rsidRDefault="00286BBD" w:rsidP="00FA2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BBD" w:rsidRDefault="00286BBD" w:rsidP="00FA2B68">
      <w:pPr>
        <w:spacing w:after="0" w:line="240" w:lineRule="auto"/>
      </w:pPr>
      <w:r>
        <w:separator/>
      </w:r>
    </w:p>
  </w:footnote>
  <w:footnote w:type="continuationSeparator" w:id="0">
    <w:p w:rsidR="00286BBD" w:rsidRDefault="00286BBD" w:rsidP="00FA2B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Content>
      <w:p w:rsidR="00FA2B68" w:rsidRDefault="00FA2B68">
        <w:pPr>
          <w:pStyle w:val="Header"/>
          <w:jc w:val="right"/>
        </w:pPr>
        <w:r>
          <w:t xml:space="preserve">Pag. </w:t>
        </w:r>
        <w:r>
          <w:rPr>
            <w:b/>
            <w:bCs/>
            <w:sz w:val="24"/>
            <w:szCs w:val="24"/>
          </w:rPr>
          <w:fldChar w:fldCharType="begin"/>
        </w:r>
        <w:r>
          <w:rPr>
            <w:b/>
            <w:bCs/>
          </w:rPr>
          <w:instrText xml:space="preserve"> PAGE </w:instrText>
        </w:r>
        <w:r>
          <w:rPr>
            <w:b/>
            <w:bCs/>
            <w:sz w:val="24"/>
            <w:szCs w:val="24"/>
          </w:rPr>
          <w:fldChar w:fldCharType="separate"/>
        </w:r>
        <w:r w:rsidR="00BF1579">
          <w:rPr>
            <w:b/>
            <w:bCs/>
            <w:noProof/>
          </w:rPr>
          <w:t>2</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sidR="00BF1579">
          <w:rPr>
            <w:b/>
            <w:bCs/>
            <w:noProof/>
          </w:rPr>
          <w:t>5</w:t>
        </w:r>
        <w:r>
          <w:rPr>
            <w:b/>
            <w:bCs/>
            <w:sz w:val="24"/>
            <w:szCs w:val="24"/>
          </w:rPr>
          <w:fldChar w:fldCharType="end"/>
        </w:r>
      </w:p>
    </w:sdtContent>
  </w:sdt>
  <w:p w:rsidR="00FA2B68" w:rsidRDefault="00FA2B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E5"/>
    <w:rsid w:val="00286BBD"/>
    <w:rsid w:val="007F6422"/>
    <w:rsid w:val="00BF1579"/>
    <w:rsid w:val="00D477AE"/>
    <w:rsid w:val="00DA0BE5"/>
    <w:rsid w:val="00FA2B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1C858-0932-49D7-B418-C7AA1946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BE5"/>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B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2B68"/>
    <w:rPr>
      <w:rFonts w:ascii="Calibri" w:eastAsia="Calibri" w:hAnsi="Calibri" w:cs="Times New Roman"/>
      <w:lang w:val="en-US"/>
    </w:rPr>
  </w:style>
  <w:style w:type="paragraph" w:styleId="Footer">
    <w:name w:val="footer"/>
    <w:basedOn w:val="Normal"/>
    <w:link w:val="FooterChar"/>
    <w:uiPriority w:val="99"/>
    <w:unhideWhenUsed/>
    <w:rsid w:val="00FA2B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2B68"/>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2498</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TatiCu</dc:creator>
  <cp:keywords/>
  <dc:description/>
  <cp:lastModifiedBy>TatiCu</cp:lastModifiedBy>
  <cp:revision>2</cp:revision>
  <dcterms:created xsi:type="dcterms:W3CDTF">2014-09-17T05:32:00Z</dcterms:created>
  <dcterms:modified xsi:type="dcterms:W3CDTF">2014-09-17T05:32:00Z</dcterms:modified>
</cp:coreProperties>
</file>